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320419</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Chicago, US</w:t>
      </w:r>
      <w:r>
        <w:rPr>
          <w:rFonts w:hint="eastAsia" w:ascii="Arial" w:hAnsi="Arial" w:eastAsia="宋体" w:cs="Arial"/>
          <w:b/>
          <w:sz w:val="24"/>
          <w:szCs w:val="24"/>
          <w:highlight w:val="none"/>
          <w:lang w:val="en-US" w:eastAsia="zh-CN"/>
        </w:rPr>
        <w:t>, Nov 13 - 17</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Remaining discussion on the enhancement of  FR2 SCell activation</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8.8.2.1</w:t>
      </w:r>
      <w:bookmarkStart w:id="0" w:name="_GoBack"/>
      <w:bookmarkEnd w:id="0"/>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last RAN4 meeting, spread discussion was held focus on L3 part of unknown FR2 SCell activation reduction. Good progress were achieved after the discussion.For details, the following agreements were achieved in [1].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autoSpaceDN/>
              <w:bidi w:val="0"/>
              <w:adjustRightInd/>
              <w:snapToGrid/>
              <w:textAlignment w:val="auto"/>
              <w:rPr>
                <w:rFonts w:eastAsia="宋体"/>
                <w:color w:val="000000" w:themeColor="text1"/>
                <w14:textFill>
                  <w14:solidFill>
                    <w14:schemeClr w14:val="tx1"/>
                  </w14:solidFill>
                </w14:textFill>
              </w:rPr>
            </w:pPr>
            <w:r>
              <w:rPr>
                <w:b/>
                <w:color w:val="0070C0"/>
                <w:u w:val="single"/>
                <w:lang w:eastAsia="ko-KR"/>
              </w:rPr>
              <w:t>Issue 1-1-1: delay requirement or time margin for “L3 measurement reporting after SCell activation command”?</w:t>
            </w:r>
          </w:p>
          <w:p>
            <w:pPr>
              <w:pStyle w:val="31"/>
              <w:keepNext w:val="0"/>
              <w:keepLines w:val="0"/>
              <w:pageBreakBefore w:val="0"/>
              <w:numPr>
                <w:ilvl w:val="0"/>
                <w:numId w:val="3"/>
              </w:numPr>
              <w:kinsoku/>
              <w:wordWrap/>
              <w:overflowPunct/>
              <w:topLinePunct w:val="0"/>
              <w:autoSpaceDE/>
              <w:autoSpaceDN/>
              <w:bidi w:val="0"/>
              <w:adjustRightInd/>
              <w:snapToGrid/>
              <w:ind w:left="450" w:firstLineChars="0"/>
              <w:jc w:val="both"/>
              <w:textAlignment w:val="auto"/>
              <w:rPr>
                <w:b/>
                <w:highlight w:val="green"/>
                <w:u w:val="single"/>
                <w:lang w:eastAsia="ko-KR"/>
              </w:rPr>
            </w:pPr>
            <w:r>
              <w:rPr>
                <w:rFonts w:eastAsia="宋体"/>
                <w:highlight w:val="green"/>
              </w:rPr>
              <w:t xml:space="preserve">Agreements: </w:t>
            </w:r>
          </w:p>
          <w:p>
            <w:pPr>
              <w:pStyle w:val="31"/>
              <w:keepNext w:val="0"/>
              <w:keepLines w:val="0"/>
              <w:pageBreakBefore w:val="0"/>
              <w:numPr>
                <w:ilvl w:val="1"/>
                <w:numId w:val="3"/>
              </w:numPr>
              <w:kinsoku/>
              <w:wordWrap/>
              <w:overflowPunct/>
              <w:topLinePunct w:val="0"/>
              <w:autoSpaceDE/>
              <w:autoSpaceDN/>
              <w:bidi w:val="0"/>
              <w:adjustRightInd/>
              <w:snapToGrid/>
              <w:ind w:left="1080" w:firstLineChars="0"/>
              <w:jc w:val="both"/>
              <w:textAlignment w:val="auto"/>
              <w:rPr>
                <w:rFonts w:eastAsia="Times New Roman"/>
                <w:szCs w:val="21"/>
              </w:rPr>
            </w:pPr>
            <w:r>
              <w:rPr>
                <w:szCs w:val="21"/>
                <w:lang w:val="en-GB"/>
              </w:rPr>
              <w:t xml:space="preserve">UE is ready to report the L3 report after SCell activation command on </w:t>
            </w:r>
            <w:r>
              <w:rPr>
                <w:i/>
                <w:iCs/>
                <w:szCs w:val="21"/>
                <w:lang w:val="en-GB"/>
              </w:rPr>
              <w:t>N +</w:t>
            </w:r>
            <w:r>
              <w:rPr>
                <w:szCs w:val="21"/>
                <w:lang w:val="en-GB"/>
              </w:rPr>
              <w:t xml:space="preserve"> </w:t>
            </w:r>
            <w:r>
              <w:rPr>
                <w:i/>
                <w:iCs/>
                <w:szCs w:val="21"/>
                <w:lang w:val="en-GB"/>
              </w:rPr>
              <w:t>T</w:t>
            </w:r>
            <w:r>
              <w:rPr>
                <w:i/>
                <w:iCs/>
                <w:szCs w:val="21"/>
                <w:vertAlign w:val="subscript"/>
                <w:lang w:val="en-GB"/>
              </w:rPr>
              <w:t>HARQ</w:t>
            </w:r>
            <w:r>
              <w:rPr>
                <w:i/>
                <w:iCs/>
                <w:szCs w:val="21"/>
                <w:lang w:val="en-GB"/>
              </w:rPr>
              <w:t xml:space="preserve"> </w:t>
            </w:r>
            <w:r>
              <w:rPr>
                <w:iCs/>
                <w:szCs w:val="21"/>
                <w:lang w:val="en-GB"/>
              </w:rPr>
              <w:t>+ 3ms + 4 ms</w:t>
            </w:r>
            <w:r>
              <w:rPr>
                <w:szCs w:val="21"/>
                <w:lang w:val="en-GB"/>
              </w:rPr>
              <w:t>.</w:t>
            </w:r>
          </w:p>
          <w:p>
            <w:pPr>
              <w:pStyle w:val="31"/>
              <w:keepNext w:val="0"/>
              <w:keepLines w:val="0"/>
              <w:pageBreakBefore w:val="0"/>
              <w:numPr>
                <w:ilvl w:val="2"/>
                <w:numId w:val="5"/>
              </w:numPr>
              <w:kinsoku/>
              <w:wordWrap/>
              <w:overflowPunct/>
              <w:topLinePunct w:val="0"/>
              <w:autoSpaceDE/>
              <w:autoSpaceDN/>
              <w:bidi w:val="0"/>
              <w:adjustRightInd/>
              <w:snapToGrid/>
              <w:ind w:left="1491" w:hanging="357" w:firstLineChars="0"/>
              <w:jc w:val="both"/>
              <w:textAlignment w:val="auto"/>
              <w:rPr>
                <w:rFonts w:eastAsia="Times New Roman"/>
                <w:szCs w:val="21"/>
              </w:rPr>
            </w:pPr>
            <w:r>
              <w:rPr>
                <w:rFonts w:eastAsia="DengXian"/>
                <w:szCs w:val="21"/>
              </w:rPr>
              <w:t xml:space="preserve">Note: </w:t>
            </w:r>
            <w:r>
              <w:rPr>
                <w:rFonts w:hint="eastAsia" w:eastAsia="DengXian"/>
                <w:szCs w:val="21"/>
              </w:rPr>
              <w:t>T</w:t>
            </w:r>
            <w:r>
              <w:rPr>
                <w:rFonts w:eastAsia="DengXian"/>
                <w:szCs w:val="21"/>
              </w:rPr>
              <w:t>he uncertainty of available UL resource for L3 report is not counted.</w:t>
            </w:r>
          </w:p>
          <w:p>
            <w:pPr>
              <w:pStyle w:val="31"/>
              <w:keepNext w:val="0"/>
              <w:keepLines w:val="0"/>
              <w:pageBreakBefore w:val="0"/>
              <w:numPr>
                <w:ilvl w:val="2"/>
                <w:numId w:val="5"/>
              </w:numPr>
              <w:kinsoku/>
              <w:wordWrap/>
              <w:overflowPunct/>
              <w:topLinePunct w:val="0"/>
              <w:autoSpaceDE/>
              <w:autoSpaceDN/>
              <w:bidi w:val="0"/>
              <w:adjustRightInd/>
              <w:snapToGrid/>
              <w:ind w:left="1491" w:hanging="357" w:firstLineChars="0"/>
              <w:jc w:val="both"/>
              <w:textAlignment w:val="auto"/>
              <w:rPr>
                <w:b/>
                <w:color w:val="0070C0"/>
                <w:u w:val="single"/>
                <w:lang w:eastAsia="ko-KR"/>
              </w:rPr>
            </w:pPr>
            <w:r>
              <w:rPr>
                <w:rFonts w:eastAsia="DengXian"/>
                <w:szCs w:val="21"/>
              </w:rPr>
              <w:t>[4 ms is the processing time for preparing L3 report triggered by MAC CE.]</w:t>
            </w:r>
          </w:p>
          <w:p>
            <w:pPr>
              <w:pStyle w:val="31"/>
              <w:keepNext w:val="0"/>
              <w:keepLines w:val="0"/>
              <w:pageBreakBefore w:val="0"/>
              <w:numPr>
                <w:ilvl w:val="0"/>
                <w:numId w:val="3"/>
              </w:numPr>
              <w:kinsoku/>
              <w:wordWrap/>
              <w:overflowPunct/>
              <w:topLinePunct w:val="0"/>
              <w:autoSpaceDE/>
              <w:autoSpaceDN/>
              <w:bidi w:val="0"/>
              <w:adjustRightInd/>
              <w:snapToGrid/>
              <w:ind w:left="450" w:firstLineChars="0"/>
              <w:jc w:val="both"/>
              <w:textAlignment w:val="auto"/>
              <w:rPr>
                <w:b/>
                <w:highlight w:val="green"/>
                <w:u w:val="single"/>
                <w:lang w:eastAsia="ko-KR"/>
              </w:rPr>
            </w:pPr>
            <w:r>
              <w:rPr>
                <w:rFonts w:eastAsia="宋体"/>
                <w:highlight w:val="green"/>
              </w:rPr>
              <w:t xml:space="preserve">Agreement: </w:t>
            </w:r>
          </w:p>
          <w:p>
            <w:pPr>
              <w:pStyle w:val="31"/>
              <w:keepNext w:val="0"/>
              <w:keepLines w:val="0"/>
              <w:pageBreakBefore w:val="0"/>
              <w:numPr>
                <w:ilvl w:val="1"/>
                <w:numId w:val="3"/>
              </w:numPr>
              <w:kinsoku/>
              <w:wordWrap/>
              <w:overflowPunct/>
              <w:topLinePunct w:val="0"/>
              <w:autoSpaceDE/>
              <w:autoSpaceDN/>
              <w:bidi w:val="0"/>
              <w:adjustRightInd/>
              <w:snapToGrid/>
              <w:ind w:firstLineChars="0"/>
              <w:textAlignment w:val="auto"/>
              <w:rPr>
                <w:i/>
                <w:iCs/>
              </w:rPr>
            </w:pPr>
            <w:r>
              <w:rPr>
                <w:i/>
                <w:iCs/>
              </w:rPr>
              <w:t>UE is not required to report L3-RSRP report after exceeding [Y]ms</w:t>
            </w:r>
          </w:p>
          <w:p>
            <w:pPr>
              <w:pStyle w:val="31"/>
              <w:keepNext w:val="0"/>
              <w:keepLines w:val="0"/>
              <w:pageBreakBefore w:val="0"/>
              <w:numPr>
                <w:ilvl w:val="2"/>
                <w:numId w:val="3"/>
              </w:numPr>
              <w:kinsoku/>
              <w:wordWrap/>
              <w:overflowPunct/>
              <w:topLinePunct w:val="0"/>
              <w:autoSpaceDE/>
              <w:autoSpaceDN/>
              <w:bidi w:val="0"/>
              <w:adjustRightInd/>
              <w:snapToGrid/>
              <w:ind w:firstLineChars="0"/>
              <w:jc w:val="both"/>
              <w:textAlignment w:val="auto"/>
              <w:rPr>
                <w:b/>
                <w:u w:val="single"/>
                <w:lang w:eastAsia="ko-KR"/>
              </w:rPr>
            </w:pPr>
            <w:r>
              <w:rPr>
                <w:i/>
                <w:iCs/>
              </w:rPr>
              <w:t>Where Y= T</w:t>
            </w:r>
            <w:r>
              <w:rPr>
                <w:i/>
                <w:iCs/>
                <w:vertAlign w:val="subscript"/>
              </w:rPr>
              <w:t>HARQ</w:t>
            </w:r>
            <w:r>
              <w:rPr>
                <w:i/>
                <w:iCs/>
              </w:rPr>
              <w:t xml:space="preserve"> + 3ms + [M]ms, </w:t>
            </w:r>
          </w:p>
          <w:p>
            <w:pPr>
              <w:pStyle w:val="31"/>
              <w:keepNext w:val="0"/>
              <w:keepLines w:val="0"/>
              <w:pageBreakBefore w:val="0"/>
              <w:numPr>
                <w:ilvl w:val="3"/>
                <w:numId w:val="3"/>
              </w:numPr>
              <w:kinsoku/>
              <w:wordWrap/>
              <w:overflowPunct/>
              <w:topLinePunct w:val="0"/>
              <w:autoSpaceDE/>
              <w:autoSpaceDN/>
              <w:bidi w:val="0"/>
              <w:adjustRightInd/>
              <w:snapToGrid/>
              <w:ind w:firstLineChars="0"/>
              <w:jc w:val="both"/>
              <w:textAlignment w:val="auto"/>
              <w:rPr>
                <w:b/>
                <w:u w:val="single"/>
                <w:lang w:eastAsia="ko-KR"/>
              </w:rPr>
            </w:pPr>
            <w:r>
              <w:rPr>
                <w:i/>
                <w:iCs/>
              </w:rPr>
              <w:t>M = 4ms + X1*Tssb+X2*Tssb, if UE indicates capability of using SSB periodicity instead of SMTC periodic</w:t>
            </w:r>
            <w:r>
              <w:rPr>
                <w:rFonts w:hint="eastAsia"/>
                <w:i/>
                <w:iCs/>
              </w:rPr>
              <w:t>it</w:t>
            </w:r>
            <w:r>
              <w:rPr>
                <w:i/>
                <w:iCs/>
              </w:rPr>
              <w:t>y</w:t>
            </w:r>
          </w:p>
          <w:p>
            <w:pPr>
              <w:pStyle w:val="31"/>
              <w:keepNext w:val="0"/>
              <w:keepLines w:val="0"/>
              <w:pageBreakBefore w:val="0"/>
              <w:numPr>
                <w:ilvl w:val="3"/>
                <w:numId w:val="3"/>
              </w:numPr>
              <w:kinsoku/>
              <w:wordWrap/>
              <w:overflowPunct/>
              <w:topLinePunct w:val="0"/>
              <w:autoSpaceDE/>
              <w:autoSpaceDN/>
              <w:bidi w:val="0"/>
              <w:adjustRightInd/>
              <w:snapToGrid/>
              <w:ind w:firstLineChars="0"/>
              <w:jc w:val="both"/>
              <w:textAlignment w:val="auto"/>
              <w:rPr>
                <w:b/>
                <w:color w:val="0070C0"/>
                <w:u w:val="single"/>
                <w:lang w:eastAsia="ko-KR"/>
              </w:rPr>
            </w:pPr>
            <w:r>
              <w:rPr>
                <w:i/>
                <w:iCs/>
              </w:rPr>
              <w:t xml:space="preserve">Otherwise, M = 4ms + X1*Tsmtc+X2*Tssb </w:t>
            </w:r>
          </w:p>
          <w:p>
            <w:pPr>
              <w:keepNext w:val="0"/>
              <w:keepLines w:val="0"/>
              <w:pageBreakBefore w:val="0"/>
              <w:kinsoku/>
              <w:wordWrap/>
              <w:overflowPunct/>
              <w:topLinePunct w:val="0"/>
              <w:autoSpaceDE/>
              <w:autoSpaceDN/>
              <w:bidi w:val="0"/>
              <w:adjustRightInd/>
              <w:snapToGrid/>
              <w:textAlignment w:val="auto"/>
              <w:rPr>
                <w:b/>
                <w:color w:val="0070C0"/>
                <w:u w:val="single"/>
              </w:rPr>
            </w:pPr>
            <w:r>
              <w:rPr>
                <w:b/>
                <w:color w:val="0070C0"/>
                <w:u w:val="single"/>
                <w:lang w:eastAsia="ko-KR"/>
              </w:rPr>
              <w:t xml:space="preserve">Issue 1-1-2: </w:t>
            </w:r>
            <w:r>
              <w:rPr>
                <w:b/>
                <w:color w:val="0070C0"/>
                <w:u w:val="single"/>
              </w:rPr>
              <w:t>Condition the UE shall trigger the L3 report when receiving SCell activation command</w:t>
            </w:r>
          </w:p>
          <w:p>
            <w:pPr>
              <w:pStyle w:val="31"/>
              <w:keepNext w:val="0"/>
              <w:keepLines w:val="0"/>
              <w:pageBreakBefore w:val="0"/>
              <w:numPr>
                <w:ilvl w:val="0"/>
                <w:numId w:val="3"/>
              </w:numPr>
              <w:kinsoku/>
              <w:wordWrap/>
              <w:overflowPunct/>
              <w:topLinePunct w:val="0"/>
              <w:autoSpaceDE/>
              <w:autoSpaceDN/>
              <w:bidi w:val="0"/>
              <w:adjustRightInd/>
              <w:snapToGrid/>
              <w:ind w:left="450" w:firstLineChars="0"/>
              <w:jc w:val="both"/>
              <w:textAlignment w:val="auto"/>
              <w:rPr>
                <w:b/>
                <w:highlight w:val="green"/>
                <w:u w:val="single"/>
                <w:lang w:eastAsia="ko-KR"/>
              </w:rPr>
            </w:pPr>
            <w:r>
              <w:rPr>
                <w:rFonts w:eastAsia="宋体"/>
                <w:highlight w:val="green"/>
              </w:rPr>
              <w:t xml:space="preserve">Agreements: </w:t>
            </w:r>
          </w:p>
          <w:p>
            <w:pPr>
              <w:pStyle w:val="31"/>
              <w:keepNext w:val="0"/>
              <w:keepLines w:val="0"/>
              <w:pageBreakBefore w:val="0"/>
              <w:numPr>
                <w:ilvl w:val="1"/>
                <w:numId w:val="3"/>
              </w:numPr>
              <w:kinsoku/>
              <w:wordWrap/>
              <w:overflowPunct/>
              <w:topLinePunct w:val="0"/>
              <w:autoSpaceDE/>
              <w:autoSpaceDN/>
              <w:bidi w:val="0"/>
              <w:adjustRightInd/>
              <w:snapToGrid/>
              <w:ind w:left="990" w:firstLineChars="0"/>
              <w:jc w:val="both"/>
              <w:textAlignment w:val="auto"/>
              <w:rPr>
                <w:rFonts w:eastAsia="宋体"/>
                <w:color w:val="0070C0"/>
              </w:rPr>
            </w:pPr>
            <w:r>
              <w:rPr>
                <w:color w:val="000000" w:themeColor="text1"/>
                <w:sz w:val="21"/>
                <w:szCs w:val="21"/>
                <w14:textFill>
                  <w14:solidFill>
                    <w14:schemeClr w14:val="tx1"/>
                  </w14:solidFill>
                </w14:textFill>
              </w:rPr>
              <w:t>S</w:t>
            </w:r>
            <w:r>
              <w:rPr>
                <w:color w:val="000000" w:themeColor="text1"/>
                <w14:textFill>
                  <w14:solidFill>
                    <w14:schemeClr w14:val="tx1"/>
                  </w14:solidFill>
                </w14:textFill>
              </w:rPr>
              <w:t xml:space="preserve">etup testing environment in the test case for UE to get valid L3 measurement result to report. In the performance part, further discuss the test conditions under which the UE shall be able to trigger the L3 report. </w:t>
            </w:r>
          </w:p>
          <w:p>
            <w:pPr>
              <w:keepNext w:val="0"/>
              <w:keepLines w:val="0"/>
              <w:pageBreakBefore w:val="0"/>
              <w:kinsoku/>
              <w:wordWrap/>
              <w:overflowPunct/>
              <w:topLinePunct w:val="0"/>
              <w:autoSpaceDE/>
              <w:autoSpaceDN/>
              <w:bidi w:val="0"/>
              <w:adjustRightInd/>
              <w:snapToGrid/>
              <w:textAlignment w:val="auto"/>
              <w:rPr>
                <w:b/>
                <w:color w:val="0070C0"/>
                <w:u w:val="single"/>
                <w:lang w:eastAsia="ko-KR"/>
              </w:rPr>
            </w:pPr>
            <w:r>
              <w:rPr>
                <w:b/>
                <w:color w:val="0070C0"/>
                <w:u w:val="single"/>
                <w:lang w:eastAsia="ko-KR"/>
              </w:rPr>
              <w:t>Issue 1-1-3: T</w:t>
            </w:r>
            <w:r>
              <w:rPr>
                <w:b/>
                <w:color w:val="0070C0"/>
                <w:u w:val="single"/>
                <w:vertAlign w:val="subscript"/>
                <w:lang w:eastAsia="ko-KR"/>
              </w:rPr>
              <w:t>uncertainty_MAC</w:t>
            </w:r>
            <w:r>
              <w:rPr>
                <w:b/>
                <w:color w:val="0070C0"/>
                <w:u w:val="single"/>
                <w:lang w:eastAsia="ko-KR"/>
              </w:rPr>
              <w:t>, T</w:t>
            </w:r>
            <w:r>
              <w:rPr>
                <w:b/>
                <w:color w:val="0070C0"/>
                <w:u w:val="single"/>
                <w:vertAlign w:val="subscript"/>
                <w:lang w:eastAsia="ko-KR"/>
              </w:rPr>
              <w:t xml:space="preserve">uncertainty_RRC  </w:t>
            </w:r>
            <w:r>
              <w:rPr>
                <w:b/>
                <w:color w:val="0070C0"/>
                <w:u w:val="single"/>
                <w:lang w:eastAsia="ko-KR"/>
              </w:rPr>
              <w:t>and T</w:t>
            </w:r>
            <w:r>
              <w:rPr>
                <w:b/>
                <w:color w:val="0070C0"/>
                <w:u w:val="single"/>
                <w:vertAlign w:val="subscript"/>
                <w:lang w:eastAsia="ko-KR"/>
              </w:rPr>
              <w:t xml:space="preserve">uncertainty_SP </w:t>
            </w:r>
            <w:r>
              <w:rPr>
                <w:b/>
                <w:color w:val="0070C0"/>
                <w:u w:val="single"/>
                <w:lang w:eastAsia="ko-KR"/>
              </w:rPr>
              <w:t>for FR2 unknown SCell activation requirement</w:t>
            </w:r>
          </w:p>
          <w:p>
            <w:pPr>
              <w:pStyle w:val="31"/>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highlight w:val="green"/>
              </w:rPr>
            </w:pPr>
            <w:r>
              <w:rPr>
                <w:rFonts w:eastAsia="宋体"/>
                <w:highlight w:val="green"/>
              </w:rPr>
              <w:t>Agreement</w:t>
            </w:r>
          </w:p>
          <w:p>
            <w:pPr>
              <w:pStyle w:val="31"/>
              <w:keepNext w:val="0"/>
              <w:keepLines w:val="0"/>
              <w:pageBreakBefore w:val="0"/>
              <w:numPr>
                <w:ilvl w:val="1"/>
                <w:numId w:val="3"/>
              </w:numPr>
              <w:kinsoku/>
              <w:wordWrap/>
              <w:overflowPunct/>
              <w:topLinePunct w:val="0"/>
              <w:autoSpaceDE/>
              <w:autoSpaceDN/>
              <w:bidi w:val="0"/>
              <w:adjustRightInd/>
              <w:snapToGrid/>
              <w:ind w:firstLineChars="0"/>
              <w:textAlignment w:val="auto"/>
              <w:rPr>
                <w:b/>
                <w:color w:val="0070C0"/>
                <w:u w:val="single"/>
                <w:lang w:eastAsia="ko-KR"/>
              </w:rPr>
            </w:pPr>
            <w:r>
              <w:rPr>
                <w:lang w:eastAsia="ko-KR"/>
              </w:rPr>
              <w:t>T</w:t>
            </w:r>
            <w:r>
              <w:rPr>
                <w:vertAlign w:val="subscript"/>
                <w:lang w:eastAsia="ko-KR"/>
              </w:rPr>
              <w:t>uncertainty_MAC</w:t>
            </w:r>
            <w:r>
              <w:rPr>
                <w:lang w:eastAsia="ko-KR"/>
              </w:rPr>
              <w:t>, T</w:t>
            </w:r>
            <w:r>
              <w:rPr>
                <w:vertAlign w:val="subscript"/>
                <w:lang w:eastAsia="ko-KR"/>
              </w:rPr>
              <w:t xml:space="preserve">uncertainty_RRC  </w:t>
            </w:r>
            <w:r>
              <w:rPr>
                <w:lang w:eastAsia="ko-KR"/>
              </w:rPr>
              <w:t>and T</w:t>
            </w:r>
            <w:r>
              <w:rPr>
                <w:vertAlign w:val="subscript"/>
                <w:lang w:eastAsia="ko-KR"/>
              </w:rPr>
              <w:t xml:space="preserve">uncertainty_SP </w:t>
            </w:r>
            <w:r>
              <w:rPr>
                <w:lang w:eastAsia="ko-KR"/>
              </w:rPr>
              <w:t>for FR2 unknown SCell activation requirement can be discussed in the CR draft directly.</w:t>
            </w:r>
          </w:p>
          <w:p>
            <w:pPr>
              <w:keepNext w:val="0"/>
              <w:keepLines w:val="0"/>
              <w:pageBreakBefore w:val="0"/>
              <w:kinsoku/>
              <w:wordWrap/>
              <w:overflowPunct/>
              <w:topLinePunct w:val="0"/>
              <w:autoSpaceDE/>
              <w:autoSpaceDN/>
              <w:bidi w:val="0"/>
              <w:adjustRightInd/>
              <w:snapToGrid/>
              <w:textAlignment w:val="auto"/>
              <w:rPr>
                <w:b/>
                <w:color w:val="0070C0"/>
                <w:u w:val="single"/>
              </w:rPr>
            </w:pPr>
            <w:r>
              <w:rPr>
                <w:b/>
                <w:color w:val="0070C0"/>
                <w:u w:val="single"/>
                <w:lang w:eastAsia="ko-KR"/>
              </w:rPr>
              <w:t xml:space="preserve">Issue 1-1-5: Enhancement based on </w:t>
            </w:r>
            <w:r>
              <w:rPr>
                <w:b/>
                <w:color w:val="0070C0"/>
                <w:u w:val="single"/>
              </w:rPr>
              <w:t>A-TRS for fast SCell activation</w:t>
            </w:r>
          </w:p>
          <w:p>
            <w:pPr>
              <w:pStyle w:val="31"/>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highlight w:val="green"/>
                <w14:textFill>
                  <w14:solidFill>
                    <w14:schemeClr w14:val="tx1"/>
                  </w14:solidFill>
                </w14:textFill>
              </w:rPr>
            </w:pPr>
            <w:r>
              <w:rPr>
                <w:rFonts w:eastAsia="宋体"/>
                <w:color w:val="000000" w:themeColor="text1"/>
                <w:highlight w:val="green"/>
                <w14:textFill>
                  <w14:solidFill>
                    <w14:schemeClr w14:val="tx1"/>
                  </w14:solidFill>
                </w14:textFill>
              </w:rPr>
              <w:t>Agreement:</w:t>
            </w:r>
          </w:p>
          <w:p>
            <w:pPr>
              <w:pStyle w:val="31"/>
              <w:keepNext w:val="0"/>
              <w:keepLines w:val="0"/>
              <w:pageBreakBefore w:val="0"/>
              <w:numPr>
                <w:ilvl w:val="1"/>
                <w:numId w:val="3"/>
              </w:numPr>
              <w:kinsoku/>
              <w:wordWrap/>
              <w:overflowPunct/>
              <w:topLinePunct w:val="0"/>
              <w:autoSpaceDE/>
              <w:autoSpaceDN/>
              <w:bidi w:val="0"/>
              <w:adjustRightInd/>
              <w:snapToGrid/>
              <w:ind w:firstLineChars="0"/>
              <w:textAlignment w:val="auto"/>
              <w:rPr>
                <w:b/>
                <w:color w:val="0070C0"/>
                <w:u w:val="single"/>
              </w:rPr>
            </w:pPr>
            <w:r>
              <w:rPr>
                <w:rFonts w:eastAsia="宋体"/>
                <w:color w:val="000000" w:themeColor="text1"/>
                <w14:textFill>
                  <w14:solidFill>
                    <w14:schemeClr w14:val="tx1"/>
                  </w14:solidFill>
                </w14:textFill>
              </w:rPr>
              <w:t>No further discussion on this A-TRS based enhancement</w:t>
            </w:r>
            <w:r>
              <w:t xml:space="preserve"> </w:t>
            </w:r>
            <w:r>
              <w:rPr>
                <w:rFonts w:eastAsia="宋体"/>
                <w:color w:val="000000" w:themeColor="text1"/>
                <w14:textFill>
                  <w14:solidFill>
                    <w14:schemeClr w14:val="tx1"/>
                  </w14:solidFill>
                </w14:textFill>
              </w:rPr>
              <w:t>for fast SCell activation</w:t>
            </w:r>
          </w:p>
          <w:p>
            <w:pPr>
              <w:keepNext w:val="0"/>
              <w:keepLines w:val="0"/>
              <w:pageBreakBefore w:val="0"/>
              <w:kinsoku/>
              <w:wordWrap/>
              <w:overflowPunct/>
              <w:topLinePunct w:val="0"/>
              <w:autoSpaceDE/>
              <w:autoSpaceDN/>
              <w:bidi w:val="0"/>
              <w:adjustRightInd/>
              <w:snapToGrid/>
              <w:textAlignment w:val="auto"/>
              <w:rPr>
                <w:b/>
                <w:color w:val="0070C0"/>
                <w:u w:val="single"/>
                <w:lang w:eastAsia="ko-KR"/>
              </w:rPr>
            </w:pPr>
            <w:r>
              <w:rPr>
                <w:b/>
                <w:color w:val="0070C0"/>
                <w:u w:val="single"/>
                <w:lang w:eastAsia="ko-KR"/>
              </w:rPr>
              <w:t>Issue 1-1-6: detailed delay requirement with reporting valid L3 measurement after SCell activation command (single SCell activation)</w:t>
            </w:r>
          </w:p>
          <w:p>
            <w:pPr>
              <w:pStyle w:val="31"/>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highlight w:val="green"/>
              </w:rPr>
            </w:pPr>
            <w:r>
              <w:rPr>
                <w:rFonts w:eastAsia="宋体"/>
                <w:highlight w:val="green"/>
              </w:rPr>
              <w:t>Agreement</w:t>
            </w:r>
          </w:p>
          <w:p>
            <w:pPr>
              <w:pStyle w:val="31"/>
              <w:keepNext w:val="0"/>
              <w:keepLines w:val="0"/>
              <w:pageBreakBefore w:val="0"/>
              <w:numPr>
                <w:ilvl w:val="1"/>
                <w:numId w:val="3"/>
              </w:numPr>
              <w:kinsoku/>
              <w:wordWrap/>
              <w:overflowPunct/>
              <w:topLinePunct w:val="0"/>
              <w:autoSpaceDE/>
              <w:autoSpaceDN/>
              <w:bidi w:val="0"/>
              <w:adjustRightInd/>
              <w:snapToGrid/>
              <w:ind w:left="1440" w:firstLineChars="0"/>
              <w:textAlignment w:val="auto"/>
              <w:rPr>
                <w:b/>
                <w:color w:val="0070C0"/>
                <w:u w:val="single"/>
              </w:rPr>
            </w:pPr>
            <w:r>
              <w:rPr>
                <w:rFonts w:eastAsia="宋体"/>
              </w:rPr>
              <w:t xml:space="preserve">Discuss in draft CR directly. </w:t>
            </w:r>
          </w:p>
          <w:p>
            <w:pPr>
              <w:keepNext w:val="0"/>
              <w:keepLines w:val="0"/>
              <w:pageBreakBefore w:val="0"/>
              <w:kinsoku/>
              <w:wordWrap/>
              <w:overflowPunct/>
              <w:topLinePunct w:val="0"/>
              <w:autoSpaceDE/>
              <w:autoSpaceDN/>
              <w:bidi w:val="0"/>
              <w:adjustRightInd/>
              <w:snapToGrid/>
              <w:textAlignment w:val="auto"/>
              <w:rPr>
                <w:b/>
                <w:color w:val="0070C0"/>
                <w:u w:val="single"/>
                <w:lang w:eastAsia="ko-KR"/>
              </w:rPr>
            </w:pPr>
            <w:r>
              <w:rPr>
                <w:b/>
                <w:color w:val="0070C0"/>
                <w:u w:val="single"/>
                <w:lang w:eastAsia="ko-KR"/>
              </w:rPr>
              <w:t>Issue 1-1-7: detailed delay requirement with reporting valid L3 measurement after SCell activation command (multiple SCell activation)</w:t>
            </w:r>
          </w:p>
          <w:p>
            <w:pPr>
              <w:pStyle w:val="31"/>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highlight w:val="green"/>
              </w:rPr>
            </w:pPr>
            <w:r>
              <w:rPr>
                <w:rFonts w:eastAsia="宋体"/>
                <w:highlight w:val="green"/>
              </w:rPr>
              <w:t>Agreement</w:t>
            </w:r>
          </w:p>
          <w:p>
            <w:pPr>
              <w:pStyle w:val="31"/>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hint="default"/>
                <w:bCs/>
                <w:color w:val="000000" w:themeColor="text1"/>
                <w:lang w:val="en-US" w:eastAsia="zh-CN"/>
                <w14:textFill>
                  <w14:solidFill>
                    <w14:schemeClr w14:val="tx1"/>
                  </w14:solidFill>
                </w14:textFill>
              </w:rPr>
            </w:pPr>
            <w:r>
              <w:rPr>
                <w:rFonts w:eastAsia="宋体"/>
              </w:rPr>
              <w:t xml:space="preserve">Discuss in draft CR directly. </w:t>
            </w:r>
          </w:p>
        </w:tc>
      </w:tr>
    </w:tbl>
    <w:p>
      <w:pPr>
        <w:widowControl w:val="0"/>
        <w:numPr>
          <w:ilvl w:val="0"/>
          <w:numId w:val="0"/>
        </w:numPr>
        <w:ind w:leftChars="0"/>
        <w:jc w:val="both"/>
        <w:rPr>
          <w:rFonts w:hint="default" w:eastAsia="宋体"/>
          <w:color w:val="auto"/>
          <w:sz w:val="20"/>
          <w:szCs w:val="20"/>
          <w:lang w:val="en-US" w:eastAsia="zh-CN"/>
        </w:rPr>
      </w:pPr>
      <w:r>
        <w:rPr>
          <w:rFonts w:hint="eastAsia" w:eastAsia="宋体"/>
          <w:color w:val="auto"/>
          <w:sz w:val="20"/>
          <w:szCs w:val="20"/>
          <w:lang w:val="en-US" w:eastAsia="zh-CN"/>
        </w:rPr>
        <w:t>Still one issue regarding the L3 reporting triggered by SCell activation command is suspending. In this paper, we provide our views on this remaining issue.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widowControl w:val="0"/>
        <w:numPr>
          <w:ilvl w:val="0"/>
          <w:numId w:val="0"/>
        </w:numPr>
        <w:ind w:leftChars="0"/>
        <w:jc w:val="both"/>
        <w:rPr>
          <w:rFonts w:hint="default" w:eastAsia="宋体"/>
          <w:color w:val="auto"/>
          <w:sz w:val="20"/>
          <w:szCs w:val="20"/>
          <w:u w:val="single"/>
          <w:lang w:val="en-US" w:eastAsia="zh-CN"/>
        </w:rPr>
      </w:pPr>
      <w:r>
        <w:rPr>
          <w:rFonts w:hint="default" w:eastAsia="宋体"/>
          <w:color w:val="auto"/>
          <w:sz w:val="20"/>
          <w:szCs w:val="20"/>
          <w:u w:val="single"/>
          <w:lang w:val="en-US" w:eastAsia="zh-CN"/>
        </w:rPr>
        <w:t>Whether SCell activation triggered L3 measurement report is configured/reported per FR2 band</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During last meeting, the following options were proposed regarding this issue: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0"/>
                <w:numId w:val="3"/>
              </w:numPr>
              <w:overflowPunct/>
              <w:autoSpaceDE/>
              <w:autoSpaceDN/>
              <w:adjustRightInd/>
              <w:spacing w:after="120"/>
              <w:ind w:left="1020" w:leftChars="0" w:firstLineChars="0"/>
              <w:textAlignment w:val="auto"/>
              <w:rPr>
                <w:rFonts w:eastAsia="宋体"/>
              </w:rPr>
            </w:pPr>
            <w:r>
              <w:rPr>
                <w:rFonts w:eastAsia="宋体"/>
              </w:rPr>
              <w:t>Option 1</w:t>
            </w:r>
            <w:r>
              <w:rPr>
                <w:rFonts w:hint="eastAsia" w:eastAsia="宋体"/>
                <w:lang w:val="en-US" w:eastAsia="zh-CN"/>
              </w:rPr>
              <w:t>:</w:t>
            </w:r>
          </w:p>
          <w:p>
            <w:pPr>
              <w:pStyle w:val="31"/>
              <w:numPr>
                <w:ilvl w:val="2"/>
                <w:numId w:val="3"/>
              </w:numPr>
              <w:overflowPunct/>
              <w:autoSpaceDE/>
              <w:autoSpaceDN/>
              <w:adjustRightInd/>
              <w:spacing w:after="120"/>
              <w:ind w:firstLineChars="0"/>
              <w:textAlignment w:val="auto"/>
              <w:rPr>
                <w:rFonts w:eastAsia="宋体"/>
              </w:rPr>
            </w:pPr>
            <w:r>
              <w:rPr>
                <w:rFonts w:eastAsia="宋体"/>
              </w:rPr>
              <w:t xml:space="preserve">The SCell activation triggered L3 measurement report is configured/reported per FR2 band, and UE shall only report the measurement result of the SCell with latest measurement results among all SCells within the same band. </w:t>
            </w:r>
          </w:p>
          <w:p>
            <w:pPr>
              <w:pStyle w:val="31"/>
              <w:numPr>
                <w:ilvl w:val="2"/>
                <w:numId w:val="3"/>
              </w:numPr>
              <w:overflowPunct/>
              <w:autoSpaceDE/>
              <w:autoSpaceDN/>
              <w:adjustRightInd/>
              <w:spacing w:after="120"/>
              <w:ind w:firstLineChars="0"/>
              <w:textAlignment w:val="auto"/>
              <w:rPr>
                <w:rFonts w:hint="default" w:eastAsia="宋体"/>
                <w:color w:val="auto"/>
                <w:sz w:val="20"/>
                <w:szCs w:val="20"/>
                <w:highlight w:val="none"/>
                <w:vertAlign w:val="baseline"/>
                <w:lang w:val="en-US" w:eastAsia="zh-CN"/>
              </w:rPr>
            </w:pPr>
            <w:r>
              <w:rPr>
                <w:rFonts w:eastAsia="宋体"/>
              </w:rPr>
              <w:t>RAN4 to send LS to RAN2 about proposal 5 to facilitate the signalling design in RAN2.</w:t>
            </w:r>
          </w:p>
        </w:tc>
      </w:tr>
    </w:tbl>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Actually this issue is subject to RAN2 decision, and RAN2 is also considering this issue currently triggered by previous RAN4 LSs[2][3] on the design request of L3 reporting mechanism. So from RAN4 perspective, we do not need to decide anything regarding this. </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Furthermore, based on legacy L3 reporting mechanism under CA, in fact UE has to report the available measurement results for all serving cell configured with </w:t>
      </w:r>
      <w:r>
        <w:rPr>
          <w:rFonts w:hint="eastAsia" w:eastAsia="宋体"/>
          <w:i/>
          <w:iCs/>
          <w:color w:val="auto"/>
          <w:sz w:val="20"/>
          <w:szCs w:val="20"/>
          <w:highlight w:val="none"/>
          <w:lang w:val="en-US" w:eastAsia="zh-CN"/>
        </w:rPr>
        <w:t>servingcellMO</w:t>
      </w:r>
      <w:r>
        <w:rPr>
          <w:rFonts w:hint="eastAsia" w:eastAsia="宋体"/>
          <w:color w:val="auto"/>
          <w:sz w:val="20"/>
          <w:szCs w:val="20"/>
          <w:highlight w:val="none"/>
          <w:lang w:val="en-US" w:eastAsia="zh-CN"/>
        </w:rPr>
        <w:t>, i.e. besides the target cell whose L3 report is requested by NW, still some other cell(s)</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s measurement results can be reported by the way in the same report signalling. The exact RAN2 specification in Clause 5.5.5.1 in [4] is shown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r>
              <w:t>The purpose of this procedure is to transfer measurement results from the UE to the network. The UE shall initiate this procedure only after successful AS security activation.</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33"/>
            </w:pPr>
            <w:r>
              <w:t>1&gt;</w:t>
            </w:r>
            <w:r>
              <w:tab/>
            </w:r>
            <w:r>
              <w:t xml:space="preserve">set the </w:t>
            </w:r>
            <w:r>
              <w:rPr>
                <w:i/>
              </w:rPr>
              <w:t>measId</w:t>
            </w:r>
            <w:r>
              <w:t xml:space="preserve"> to the measurement identity that triggered the measurement reporting;</w:t>
            </w:r>
          </w:p>
          <w:p>
            <w:pPr>
              <w:pStyle w:val="33"/>
              <w:rPr>
                <w:rFonts w:eastAsia="MS PGothic"/>
                <w:i/>
                <w:iCs/>
              </w:rPr>
            </w:pPr>
            <w:r>
              <w:rPr>
                <w:rFonts w:eastAsia="MS PGothic"/>
              </w:rPr>
              <w:t>1&gt;</w:t>
            </w:r>
            <w:r>
              <w:rPr>
                <w:rFonts w:eastAsia="MS PGothic"/>
              </w:rPr>
              <w:tab/>
            </w:r>
            <w:r>
              <w:rPr>
                <w:rFonts w:eastAsia="MS PGothic"/>
                <w:highlight w:val="yellow"/>
              </w:rPr>
              <w:t xml:space="preserve">for each serving cell configured with </w:t>
            </w:r>
            <w:r>
              <w:rPr>
                <w:i/>
                <w:highlight w:val="yellow"/>
              </w:rPr>
              <w:t>servingCellMO</w:t>
            </w:r>
            <w:r>
              <w:rPr>
                <w:rFonts w:eastAsia="MS PGothic"/>
                <w:iCs/>
              </w:rPr>
              <w:t>:</w:t>
            </w:r>
          </w:p>
          <w:p>
            <w:pPr>
              <w:pStyle w:val="60"/>
              <w:numPr>
                <w:ilvl w:val="0"/>
                <w:numId w:val="0"/>
              </w:numPr>
              <w:ind w:left="600" w:leftChars="300"/>
              <w:rPr>
                <w:rFonts w:eastAsia="MS PGothic"/>
              </w:rPr>
            </w:pPr>
            <w:r>
              <w:rPr>
                <w:rFonts w:eastAsia="MS PGothic"/>
              </w:rPr>
              <w:t>2&gt;</w:t>
            </w:r>
            <w:r>
              <w:rPr>
                <w:rFonts w:eastAsia="MS PGothic"/>
              </w:rPr>
              <w:tab/>
            </w:r>
            <w:r>
              <w:rPr>
                <w:rFonts w:eastAsia="MS PGothic"/>
              </w:rPr>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pPr>
              <w:pStyle w:val="62"/>
              <w:numPr>
                <w:ilvl w:val="0"/>
                <w:numId w:val="0"/>
              </w:numPr>
              <w:ind w:left="1135" w:leftChars="0"/>
              <w:rPr>
                <w:rFonts w:eastAsia="MS PGothic"/>
              </w:rPr>
            </w:pPr>
            <w:r>
              <w:rPr>
                <w:rFonts w:eastAsia="MS PGothic"/>
              </w:rPr>
              <w:t>3&gt;</w:t>
            </w:r>
            <w:r>
              <w:rPr>
                <w:rFonts w:eastAsia="MS PGothic"/>
              </w:rPr>
              <w:tab/>
            </w:r>
            <w:r>
              <w:rPr>
                <w:rFonts w:eastAsia="MS PGothic"/>
              </w:rPr>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pPr>
              <w:pStyle w:val="64"/>
              <w:numPr>
                <w:ilvl w:val="0"/>
                <w:numId w:val="0"/>
              </w:numPr>
              <w:ind w:left="1418" w:leftChars="0"/>
              <w:rPr>
                <w:rFonts w:eastAsia="MS PGothic"/>
              </w:rPr>
            </w:pPr>
            <w:r>
              <w:rPr>
                <w:rFonts w:eastAsia="MS PGothic"/>
              </w:rPr>
              <w:t>4&gt;</w:t>
            </w:r>
            <w:r>
              <w:rPr>
                <w:rFonts w:eastAsia="MS PGothic"/>
              </w:rP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pPr>
              <w:pStyle w:val="60"/>
              <w:numPr>
                <w:ilvl w:val="0"/>
                <w:numId w:val="0"/>
              </w:numPr>
              <w:ind w:left="600" w:leftChars="300"/>
              <w:rPr>
                <w:rFonts w:eastAsia="MS PGothic"/>
              </w:rPr>
            </w:pPr>
            <w:r>
              <w:rPr>
                <w:rFonts w:eastAsia="MS PGothic"/>
              </w:rPr>
              <w:t>2&gt;</w:t>
            </w:r>
            <w:r>
              <w:rPr>
                <w:rFonts w:eastAsia="MS PGothic"/>
              </w:rPr>
              <w:tab/>
            </w:r>
            <w:r>
              <w:rPr>
                <w:rFonts w:eastAsia="MS PGothic"/>
              </w:rPr>
              <w:t>else</w:t>
            </w:r>
            <w:r>
              <w:rPr>
                <w:rFonts w:eastAsia="MS PGothic"/>
                <w:iCs/>
              </w:rPr>
              <w:t>:</w:t>
            </w:r>
          </w:p>
          <w:p>
            <w:pPr>
              <w:pStyle w:val="62"/>
              <w:numPr>
                <w:ilvl w:val="0"/>
                <w:numId w:val="0"/>
              </w:numPr>
              <w:ind w:left="1135" w:leftChars="0"/>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pPr>
              <w:pStyle w:val="64"/>
              <w:numPr>
                <w:ilvl w:val="0"/>
                <w:numId w:val="0"/>
              </w:numPr>
              <w:ind w:left="1418" w:leftChars="0"/>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pPr>
              <w:pStyle w:val="62"/>
              <w:numPr>
                <w:ilvl w:val="0"/>
                <w:numId w:val="0"/>
              </w:numPr>
              <w:ind w:left="1135" w:leftChars="0"/>
              <w:rPr>
                <w:rFonts w:eastAsia="MS PGothic"/>
              </w:rPr>
            </w:pPr>
            <w:r>
              <w:rPr>
                <w:rFonts w:eastAsia="MS PGothic"/>
              </w:rPr>
              <w:t>3&gt;</w:t>
            </w:r>
            <w:r>
              <w:rPr>
                <w:rFonts w:eastAsia="MS PGothic"/>
              </w:rPr>
              <w:tab/>
            </w:r>
            <w:r>
              <w:rPr>
                <w:rFonts w:eastAsia="MS PGothic"/>
              </w:rPr>
              <w:t>else if CSI-RS based serving cell measurements are available:</w:t>
            </w:r>
          </w:p>
          <w:p>
            <w:pPr>
              <w:widowControl w:val="0"/>
              <w:numPr>
                <w:ilvl w:val="0"/>
                <w:numId w:val="0"/>
              </w:numPr>
              <w:ind w:leftChars="700"/>
              <w:jc w:val="both"/>
              <w:rPr>
                <w:rFonts w:hint="default" w:eastAsia="宋体"/>
                <w:color w:val="auto"/>
                <w:sz w:val="20"/>
                <w:szCs w:val="20"/>
                <w:highlight w:val="none"/>
                <w:vertAlign w:val="baseline"/>
                <w:lang w:val="en-US" w:eastAsia="zh-CN"/>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ind w:leftChars="0"/>
        <w:jc w:val="both"/>
        <w:textAlignment w:val="auto"/>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Here Option 1 intends to introduce some additional constraint to limit only the cells in the same band can be reported. While to our understand, if no such constraint in legacy, why to add the constraint here? So our suggestion is to leave it to RAN2 decision. No need to proceed this issue.</w:t>
      </w:r>
    </w:p>
    <w:p>
      <w:pPr>
        <w:pStyle w:val="12"/>
        <w:keepNext w:val="0"/>
        <w:keepLines w:val="0"/>
        <w:pageBreakBefore w:val="0"/>
        <w:numPr>
          <w:ilvl w:val="0"/>
          <w:numId w:val="0"/>
        </w:numPr>
        <w:kinsoku/>
        <w:wordWrap/>
        <w:overflowPunct/>
        <w:topLinePunct w:val="0"/>
        <w:autoSpaceDE/>
        <w:autoSpaceDN/>
        <w:bidi w:val="0"/>
        <w:adjustRightInd/>
        <w:snapToGrid/>
        <w:spacing w:before="157" w:beforeLines="50" w:after="0"/>
        <w:ind w:leftChars="0"/>
        <w:textAlignment w:val="auto"/>
        <w:rPr>
          <w:rFonts w:hint="default" w:ascii="Times New Roman" w:hAnsi="Times New Roman" w:eastAsia="宋体" w:cs="Times New Roman"/>
          <w:color w:val="auto"/>
          <w:kern w:val="0"/>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No need to introduce any constraint from RAN4 perspective, RAN2 would decide this.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2"/>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12"/>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1: No need to introduce any constraint from RAN4 perspective, RAN2 would decide this.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numPr>
          <w:ilvl w:val="0"/>
          <w:numId w:val="6"/>
        </w:numPr>
        <w:ind w:leftChars="0"/>
        <w:rPr>
          <w:rFonts w:hint="eastAsia"/>
          <w:color w:val="auto"/>
          <w:lang w:val="en-US" w:eastAsia="zh-CN"/>
        </w:rPr>
      </w:pPr>
      <w:r>
        <w:rPr>
          <w:rFonts w:hint="eastAsia"/>
          <w:color w:val="auto"/>
          <w:lang w:val="en-US" w:eastAsia="zh-CN"/>
        </w:rPr>
        <w:t xml:space="preserve">R4-2317350 </w:t>
      </w:r>
      <w:r>
        <w:rPr>
          <w:rFonts w:hint="default"/>
          <w:color w:val="auto"/>
          <w:lang w:val="en-US" w:eastAsia="zh-CN"/>
        </w:rPr>
        <w:t>“WF for [108bis][204] NR_RRM_enh3_part1”</w:t>
      </w:r>
      <w:r>
        <w:rPr>
          <w:rFonts w:hint="eastAsia"/>
          <w:color w:val="auto"/>
          <w:lang w:val="en-US" w:eastAsia="zh-CN"/>
        </w:rPr>
        <w:t>, Apple</w:t>
      </w:r>
    </w:p>
    <w:p>
      <w:pPr>
        <w:pStyle w:val="7"/>
        <w:numPr>
          <w:ilvl w:val="0"/>
          <w:numId w:val="6"/>
        </w:numPr>
        <w:ind w:leftChars="0"/>
        <w:rPr>
          <w:rFonts w:hint="eastAsia"/>
          <w:color w:val="auto"/>
          <w:lang w:val="en-US" w:eastAsia="zh-CN"/>
        </w:rPr>
      </w:pPr>
      <w:r>
        <w:rPr>
          <w:rFonts w:hint="eastAsia"/>
          <w:color w:val="auto"/>
          <w:lang w:val="en-US" w:eastAsia="zh-CN"/>
        </w:rPr>
        <w:t xml:space="preserve">R4-2310083 </w:t>
      </w:r>
      <w:r>
        <w:rPr>
          <w:rFonts w:hint="default"/>
          <w:color w:val="auto"/>
          <w:lang w:val="en-US" w:eastAsia="zh-CN"/>
        </w:rPr>
        <w:t>“LS on FR2 SCell activation enhancements”</w:t>
      </w:r>
      <w:r>
        <w:rPr>
          <w:rFonts w:hint="eastAsia"/>
          <w:color w:val="auto"/>
          <w:lang w:val="en-US" w:eastAsia="zh-CN"/>
        </w:rPr>
        <w:t>, Apple</w:t>
      </w:r>
    </w:p>
    <w:p>
      <w:pPr>
        <w:pStyle w:val="7"/>
        <w:numPr>
          <w:ilvl w:val="0"/>
          <w:numId w:val="6"/>
        </w:numPr>
        <w:ind w:leftChars="0"/>
        <w:rPr>
          <w:rFonts w:hint="eastAsia"/>
          <w:color w:val="auto"/>
          <w:lang w:val="en-US" w:eastAsia="zh-CN"/>
        </w:rPr>
      </w:pPr>
      <w:r>
        <w:rPr>
          <w:rFonts w:hint="eastAsia"/>
          <w:color w:val="auto"/>
          <w:lang w:val="en-US" w:eastAsia="zh-CN"/>
        </w:rPr>
        <w:t xml:space="preserve">R4-2314338 </w:t>
      </w:r>
      <w:r>
        <w:rPr>
          <w:rFonts w:hint="default"/>
          <w:color w:val="auto"/>
          <w:lang w:val="en-US" w:eastAsia="zh-CN"/>
        </w:rPr>
        <w:t>“LS on FR2 SCell activation enhancements”</w:t>
      </w:r>
      <w:r>
        <w:rPr>
          <w:rFonts w:hint="eastAsia"/>
          <w:color w:val="auto"/>
          <w:lang w:val="en-US" w:eastAsia="zh-CN"/>
        </w:rPr>
        <w:t>, Apple</w:t>
      </w:r>
    </w:p>
    <w:p>
      <w:pPr>
        <w:pStyle w:val="7"/>
        <w:numPr>
          <w:ilvl w:val="0"/>
          <w:numId w:val="6"/>
        </w:numPr>
        <w:ind w:leftChars="0"/>
        <w:rPr>
          <w:rFonts w:hint="eastAsia"/>
          <w:color w:val="auto"/>
          <w:lang w:val="en-US" w:eastAsia="zh-CN"/>
        </w:rPr>
      </w:pPr>
      <w:r>
        <w:rPr>
          <w:rFonts w:hint="eastAsia"/>
          <w:color w:val="auto"/>
          <w:lang w:val="en-US" w:eastAsia="zh-CN"/>
        </w:rPr>
        <w:t>TS 38.133-i30</w:t>
      </w:r>
    </w:p>
    <w:p>
      <w:pPr>
        <w:pStyle w:val="7"/>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CC1058"/>
    <w:multiLevelType w:val="multilevel"/>
    <w:tmpl w:val="09CC1058"/>
    <w:lvl w:ilvl="0" w:tentative="0">
      <w:start w:val="1"/>
      <w:numFmt w:val="bullet"/>
      <w:lvlText w:val=""/>
      <w:lvlJc w:val="left"/>
      <w:pPr>
        <w:ind w:left="936" w:hanging="360"/>
      </w:pPr>
      <w:rPr>
        <w:rFonts w:hint="default" w:ascii="Symbol" w:hAnsi="Symbol"/>
        <w:lang w:val="en-GB"/>
      </w:rPr>
    </w:lvl>
    <w:lvl w:ilvl="1" w:tentative="0">
      <w:start w:val="1"/>
      <w:numFmt w:val="bullet"/>
      <w:lvlText w:val=""/>
      <w:lvlJc w:val="left"/>
      <w:pPr>
        <w:ind w:left="1656" w:hanging="360"/>
      </w:pPr>
      <w:rPr>
        <w:rFonts w:hint="default" w:ascii="Wingdings" w:hAnsi="Wingdings"/>
      </w:rPr>
    </w:lvl>
    <w:lvl w:ilvl="2" w:tentative="0">
      <w:start w:val="0"/>
      <w:numFmt w:val="bullet"/>
      <w:lvlText w:val="◦"/>
      <w:lvlJc w:val="left"/>
      <w:pPr>
        <w:ind w:left="2376" w:hanging="360"/>
      </w:pPr>
      <w:rPr>
        <w:rFonts w:hint="default" w:ascii="Calibri" w:hAnsi="Calibri"/>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61"/>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4">
    <w:nsid w:val="6B5B4F67"/>
    <w:multiLevelType w:val="multilevel"/>
    <w:tmpl w:val="6B5B4F67"/>
    <w:lvl w:ilvl="0" w:tentative="0">
      <w:start w:val="1"/>
      <w:numFmt w:val="decimal"/>
      <w:pStyle w:val="7"/>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abstractNum w:abstractNumId="5">
    <w:nsid w:val="6D132084"/>
    <w:multiLevelType w:val="singleLevel"/>
    <w:tmpl w:val="6D132084"/>
    <w:lvl w:ilvl="0" w:tentative="0">
      <w:start w:val="1"/>
      <w:numFmt w:val="decimal"/>
      <w:suff w:val="space"/>
      <w:lvlText w:val="[%1]"/>
      <w:lvlJc w:val="left"/>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E871F55"/>
    <w:rsid w:val="0EB60EDD"/>
    <w:rsid w:val="0F7514C6"/>
    <w:rsid w:val="10832C30"/>
    <w:rsid w:val="10997F43"/>
    <w:rsid w:val="10DE7BAE"/>
    <w:rsid w:val="110768ED"/>
    <w:rsid w:val="120774A3"/>
    <w:rsid w:val="124D1C25"/>
    <w:rsid w:val="12866C44"/>
    <w:rsid w:val="13124658"/>
    <w:rsid w:val="136B3851"/>
    <w:rsid w:val="13B66EB5"/>
    <w:rsid w:val="14006D19"/>
    <w:rsid w:val="14337DBF"/>
    <w:rsid w:val="1481754F"/>
    <w:rsid w:val="148F5721"/>
    <w:rsid w:val="14AC57CD"/>
    <w:rsid w:val="14B90DF6"/>
    <w:rsid w:val="159C76CB"/>
    <w:rsid w:val="15B4084B"/>
    <w:rsid w:val="15C37DEC"/>
    <w:rsid w:val="15ED3E9B"/>
    <w:rsid w:val="164514BE"/>
    <w:rsid w:val="16CD72CF"/>
    <w:rsid w:val="17065891"/>
    <w:rsid w:val="170F06AA"/>
    <w:rsid w:val="17225508"/>
    <w:rsid w:val="17564923"/>
    <w:rsid w:val="17C63C83"/>
    <w:rsid w:val="180A6E32"/>
    <w:rsid w:val="1825042E"/>
    <w:rsid w:val="183F2CD2"/>
    <w:rsid w:val="1856323E"/>
    <w:rsid w:val="18AF55E3"/>
    <w:rsid w:val="18B1519A"/>
    <w:rsid w:val="18CD0507"/>
    <w:rsid w:val="195D7D48"/>
    <w:rsid w:val="196E39FC"/>
    <w:rsid w:val="197B756F"/>
    <w:rsid w:val="19960536"/>
    <w:rsid w:val="1AD01A1B"/>
    <w:rsid w:val="1B3C3255"/>
    <w:rsid w:val="1B61065A"/>
    <w:rsid w:val="1B731483"/>
    <w:rsid w:val="1BBF3927"/>
    <w:rsid w:val="1BD261F4"/>
    <w:rsid w:val="1C177B08"/>
    <w:rsid w:val="1C702C80"/>
    <w:rsid w:val="1C9001C6"/>
    <w:rsid w:val="1CBA2101"/>
    <w:rsid w:val="1CC2157E"/>
    <w:rsid w:val="1D0573D7"/>
    <w:rsid w:val="1D153DC4"/>
    <w:rsid w:val="1D223E0B"/>
    <w:rsid w:val="1E132F88"/>
    <w:rsid w:val="1E2867E9"/>
    <w:rsid w:val="1E513650"/>
    <w:rsid w:val="1E853F6F"/>
    <w:rsid w:val="1E9C7BCC"/>
    <w:rsid w:val="1EC87896"/>
    <w:rsid w:val="1ECC1E3C"/>
    <w:rsid w:val="1F1E0F23"/>
    <w:rsid w:val="20080741"/>
    <w:rsid w:val="203B711F"/>
    <w:rsid w:val="20933D8F"/>
    <w:rsid w:val="20AE781D"/>
    <w:rsid w:val="20C806F7"/>
    <w:rsid w:val="21014C39"/>
    <w:rsid w:val="21244EB1"/>
    <w:rsid w:val="213964D8"/>
    <w:rsid w:val="214F3475"/>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7FC40F8"/>
    <w:rsid w:val="28121B1E"/>
    <w:rsid w:val="281C2F58"/>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D6F3D99"/>
    <w:rsid w:val="2E014790"/>
    <w:rsid w:val="2E082A14"/>
    <w:rsid w:val="2EBA1DF4"/>
    <w:rsid w:val="2EE77680"/>
    <w:rsid w:val="2F2F0FC8"/>
    <w:rsid w:val="2F57467C"/>
    <w:rsid w:val="2FBC15C5"/>
    <w:rsid w:val="301C6BB6"/>
    <w:rsid w:val="30220150"/>
    <w:rsid w:val="30571E20"/>
    <w:rsid w:val="31894491"/>
    <w:rsid w:val="319708F2"/>
    <w:rsid w:val="31B14C9E"/>
    <w:rsid w:val="33C522D7"/>
    <w:rsid w:val="34807672"/>
    <w:rsid w:val="34921EC4"/>
    <w:rsid w:val="34A82967"/>
    <w:rsid w:val="34E62056"/>
    <w:rsid w:val="3509099B"/>
    <w:rsid w:val="35B06C6A"/>
    <w:rsid w:val="36941AA2"/>
    <w:rsid w:val="36D37423"/>
    <w:rsid w:val="36FF6E30"/>
    <w:rsid w:val="370E71B8"/>
    <w:rsid w:val="379D23F9"/>
    <w:rsid w:val="37E12984"/>
    <w:rsid w:val="3840202A"/>
    <w:rsid w:val="390F18D5"/>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6C73401"/>
    <w:rsid w:val="47185425"/>
    <w:rsid w:val="47282363"/>
    <w:rsid w:val="49233A8B"/>
    <w:rsid w:val="49525C50"/>
    <w:rsid w:val="49DC4EAC"/>
    <w:rsid w:val="49E55BC5"/>
    <w:rsid w:val="4B3B06EC"/>
    <w:rsid w:val="4B6E5E44"/>
    <w:rsid w:val="4BF24EEB"/>
    <w:rsid w:val="4C1C63D6"/>
    <w:rsid w:val="4C864A35"/>
    <w:rsid w:val="4CB867ED"/>
    <w:rsid w:val="4CD61886"/>
    <w:rsid w:val="4E015C76"/>
    <w:rsid w:val="4E310026"/>
    <w:rsid w:val="4E4A2325"/>
    <w:rsid w:val="4E8A7166"/>
    <w:rsid w:val="4EF1548F"/>
    <w:rsid w:val="4F2D3B14"/>
    <w:rsid w:val="4F5C5331"/>
    <w:rsid w:val="501A6C55"/>
    <w:rsid w:val="505E1A7C"/>
    <w:rsid w:val="5086431A"/>
    <w:rsid w:val="51B14BED"/>
    <w:rsid w:val="52313D62"/>
    <w:rsid w:val="52526454"/>
    <w:rsid w:val="525C1CEF"/>
    <w:rsid w:val="528B5767"/>
    <w:rsid w:val="52C700B1"/>
    <w:rsid w:val="52D33625"/>
    <w:rsid w:val="53A3105E"/>
    <w:rsid w:val="53C64B93"/>
    <w:rsid w:val="53D64D18"/>
    <w:rsid w:val="54283FDA"/>
    <w:rsid w:val="548A6C60"/>
    <w:rsid w:val="5534082B"/>
    <w:rsid w:val="55B1164D"/>
    <w:rsid w:val="55B4735E"/>
    <w:rsid w:val="55BB221D"/>
    <w:rsid w:val="55F52EA4"/>
    <w:rsid w:val="56371459"/>
    <w:rsid w:val="56484633"/>
    <w:rsid w:val="56EB15F8"/>
    <w:rsid w:val="58D0053D"/>
    <w:rsid w:val="58DB5C96"/>
    <w:rsid w:val="5963100F"/>
    <w:rsid w:val="598C40A0"/>
    <w:rsid w:val="59DA647E"/>
    <w:rsid w:val="5A472BD1"/>
    <w:rsid w:val="5A556E1A"/>
    <w:rsid w:val="5A607E19"/>
    <w:rsid w:val="5A8511D8"/>
    <w:rsid w:val="5C094F4D"/>
    <w:rsid w:val="5C876D53"/>
    <w:rsid w:val="5CFD1122"/>
    <w:rsid w:val="5E2864D0"/>
    <w:rsid w:val="5E494511"/>
    <w:rsid w:val="5E531A2E"/>
    <w:rsid w:val="5EB44FC0"/>
    <w:rsid w:val="5FBA395F"/>
    <w:rsid w:val="60EC2CBA"/>
    <w:rsid w:val="60EE2705"/>
    <w:rsid w:val="61BD018E"/>
    <w:rsid w:val="61CC2D28"/>
    <w:rsid w:val="63445F2E"/>
    <w:rsid w:val="63476641"/>
    <w:rsid w:val="635902CD"/>
    <w:rsid w:val="635E6E54"/>
    <w:rsid w:val="63FD2E12"/>
    <w:rsid w:val="640F0A9C"/>
    <w:rsid w:val="64706BBE"/>
    <w:rsid w:val="64F2095B"/>
    <w:rsid w:val="655E2D01"/>
    <w:rsid w:val="663429C9"/>
    <w:rsid w:val="66837EAF"/>
    <w:rsid w:val="67A858DB"/>
    <w:rsid w:val="67C776ED"/>
    <w:rsid w:val="67FE4166"/>
    <w:rsid w:val="68C401C3"/>
    <w:rsid w:val="69A833BD"/>
    <w:rsid w:val="6A9360AB"/>
    <w:rsid w:val="6AB215EC"/>
    <w:rsid w:val="6C742572"/>
    <w:rsid w:val="6C952210"/>
    <w:rsid w:val="6CAE59F5"/>
    <w:rsid w:val="6CD425A8"/>
    <w:rsid w:val="6D023321"/>
    <w:rsid w:val="6D452195"/>
    <w:rsid w:val="6D566F0F"/>
    <w:rsid w:val="6D836F72"/>
    <w:rsid w:val="6D944C6F"/>
    <w:rsid w:val="6DDE3DAF"/>
    <w:rsid w:val="6E3241BE"/>
    <w:rsid w:val="6E92081A"/>
    <w:rsid w:val="6EB97A9D"/>
    <w:rsid w:val="6EF10A90"/>
    <w:rsid w:val="6EF77781"/>
    <w:rsid w:val="6F7F3578"/>
    <w:rsid w:val="6FA020C5"/>
    <w:rsid w:val="6FFF1868"/>
    <w:rsid w:val="715F4C2D"/>
    <w:rsid w:val="71605362"/>
    <w:rsid w:val="71733BEC"/>
    <w:rsid w:val="71C020E8"/>
    <w:rsid w:val="722F78FB"/>
    <w:rsid w:val="723D67C5"/>
    <w:rsid w:val="72BF60CA"/>
    <w:rsid w:val="72F41282"/>
    <w:rsid w:val="730336CA"/>
    <w:rsid w:val="733D0D32"/>
    <w:rsid w:val="73984EC1"/>
    <w:rsid w:val="73D411F1"/>
    <w:rsid w:val="73F0682F"/>
    <w:rsid w:val="744E0E29"/>
    <w:rsid w:val="753811DE"/>
    <w:rsid w:val="75A854A2"/>
    <w:rsid w:val="75BE67D4"/>
    <w:rsid w:val="75C2004C"/>
    <w:rsid w:val="75C759C1"/>
    <w:rsid w:val="762D64F3"/>
    <w:rsid w:val="7649701C"/>
    <w:rsid w:val="766B63D6"/>
    <w:rsid w:val="767E7EFF"/>
    <w:rsid w:val="77592FF4"/>
    <w:rsid w:val="775B4604"/>
    <w:rsid w:val="77C067C3"/>
    <w:rsid w:val="77F32708"/>
    <w:rsid w:val="783F569F"/>
    <w:rsid w:val="78911E31"/>
    <w:rsid w:val="7922350F"/>
    <w:rsid w:val="792B5470"/>
    <w:rsid w:val="798B394D"/>
    <w:rsid w:val="7A2A2BDF"/>
    <w:rsid w:val="7A9367CB"/>
    <w:rsid w:val="7AC62F94"/>
    <w:rsid w:val="7AF22571"/>
    <w:rsid w:val="7B69224B"/>
    <w:rsid w:val="7BC1795F"/>
    <w:rsid w:val="7BE80F25"/>
    <w:rsid w:val="7C1127AC"/>
    <w:rsid w:val="7C1C35A7"/>
    <w:rsid w:val="7C45431D"/>
    <w:rsid w:val="7D3219D5"/>
    <w:rsid w:val="7DDD0501"/>
    <w:rsid w:val="7DE51372"/>
    <w:rsid w:val="7DFF100D"/>
    <w:rsid w:val="7E5E590F"/>
    <w:rsid w:val="7E935AFB"/>
    <w:rsid w:val="7EF30223"/>
    <w:rsid w:val="7F695915"/>
    <w:rsid w:val="7FC5602F"/>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List 4"/>
    <w:basedOn w:val="6"/>
    <w:qFormat/>
    <w:uiPriority w:val="0"/>
    <w:pPr>
      <w:ind w:left="1418"/>
    </w:pPr>
  </w:style>
  <w:style w:type="paragraph" w:styleId="18">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1"/>
    <w:qFormat/>
    <w:uiPriority w:val="0"/>
  </w:style>
  <w:style w:type="character" w:customStyle="1" w:styleId="57">
    <w:name w:val="eop"/>
    <w:basedOn w:val="21"/>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B2"/>
    <w:basedOn w:val="7"/>
    <w:qFormat/>
    <w:uiPriority w:val="0"/>
  </w:style>
  <w:style w:type="paragraph" w:customStyle="1" w:styleId="61">
    <w:name w:val="样式3"/>
    <w:basedOn w:val="31"/>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2">
    <w:name w:val="B3"/>
    <w:basedOn w:val="6"/>
    <w:qFormat/>
    <w:uiPriority w:val="0"/>
  </w:style>
  <w:style w:type="paragraph" w:customStyle="1" w:styleId="63">
    <w:name w:val="TF"/>
    <w:basedOn w:val="39"/>
    <w:qFormat/>
    <w:uiPriority w:val="0"/>
    <w:pPr>
      <w:keepNext w:val="0"/>
      <w:spacing w:before="0" w:after="240"/>
    </w:pPr>
  </w:style>
  <w:style w:type="paragraph" w:customStyle="1" w:styleId="64">
    <w:name w:val="B4"/>
    <w:basedOn w:val="1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2023-11-03T16:09:31Z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FFB5176DD3A4421EBB948A7705297399</vt:lpwstr>
  </property>
</Properties>
</file>